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outlineLvl w:val="0"/>
        <w:rPr>
          <w:rFonts w:ascii="黑体" w:hAnsi="黑体" w:eastAsia="黑体"/>
          <w:sz w:val="32"/>
          <w:szCs w:val="32"/>
        </w:rPr>
      </w:pPr>
    </w:p>
    <w:p>
      <w:pPr>
        <w:spacing w:line="480" w:lineRule="auto"/>
        <w:jc w:val="center"/>
        <w:outlineLvl w:val="0"/>
        <w:rPr>
          <w:b/>
          <w:spacing w:val="50"/>
          <w:sz w:val="72"/>
        </w:rPr>
      </w:pPr>
    </w:p>
    <w:p>
      <w:pPr>
        <w:spacing w:line="480" w:lineRule="auto"/>
        <w:jc w:val="center"/>
        <w:outlineLvl w:val="0"/>
        <w:rPr>
          <w:b/>
          <w:spacing w:val="50"/>
          <w:sz w:val="72"/>
        </w:rPr>
      </w:pPr>
    </w:p>
    <w:p>
      <w:pPr>
        <w:spacing w:line="900" w:lineRule="exact"/>
        <w:jc w:val="center"/>
        <w:outlineLvl w:val="0"/>
        <w:rPr>
          <w:rFonts w:ascii="方正小标宋简体" w:eastAsia="方正小标宋简体"/>
          <w:spacing w:val="50"/>
          <w:sz w:val="64"/>
          <w:szCs w:val="44"/>
        </w:rPr>
      </w:pPr>
      <w:r>
        <w:rPr>
          <w:rFonts w:hint="eastAsia" w:ascii="方正小标宋简体" w:eastAsia="方正小标宋简体"/>
          <w:spacing w:val="50"/>
          <w:sz w:val="64"/>
          <w:szCs w:val="44"/>
        </w:rPr>
        <w:t>山东省</w:t>
      </w:r>
    </w:p>
    <w:p>
      <w:pPr>
        <w:spacing w:line="900" w:lineRule="exact"/>
        <w:jc w:val="center"/>
        <w:outlineLvl w:val="0"/>
        <w:rPr>
          <w:rFonts w:ascii="方正小标宋简体" w:eastAsia="方正小标宋简体"/>
          <w:spacing w:val="50"/>
          <w:sz w:val="64"/>
          <w:szCs w:val="44"/>
        </w:rPr>
      </w:pPr>
      <w:r>
        <w:rPr>
          <w:rFonts w:hint="eastAsia" w:ascii="方正小标宋简体" w:eastAsia="方正小标宋简体"/>
          <w:spacing w:val="50"/>
          <w:sz w:val="64"/>
          <w:szCs w:val="44"/>
        </w:rPr>
        <w:t>排污单位自行监测方案</w:t>
      </w:r>
    </w:p>
    <w:p>
      <w:pPr>
        <w:jc w:val="center"/>
        <w:rPr>
          <w:sz w:val="30"/>
          <w:szCs w:val="30"/>
        </w:rPr>
      </w:pPr>
    </w:p>
    <w:p>
      <w:pPr>
        <w:spacing w:line="800" w:lineRule="exact"/>
        <w:jc w:val="center"/>
        <w:rPr>
          <w:sz w:val="30"/>
          <w:szCs w:val="30"/>
        </w:rPr>
      </w:pPr>
    </w:p>
    <w:p>
      <w:pPr>
        <w:spacing w:line="1200" w:lineRule="exact"/>
        <w:jc w:val="center"/>
        <w:rPr>
          <w:sz w:val="30"/>
          <w:szCs w:val="30"/>
        </w:rPr>
      </w:pPr>
    </w:p>
    <w:p>
      <w:pPr>
        <w:spacing w:line="1200" w:lineRule="exact"/>
        <w:ind w:left="2644" w:leftChars="713" w:hanging="1147" w:hangingChars="381"/>
        <w:rPr>
          <w:bCs/>
          <w:spacing w:val="-20"/>
          <w:sz w:val="30"/>
          <w:szCs w:val="30"/>
          <w:u w:val="single"/>
        </w:rPr>
      </w:pPr>
      <w:r>
        <w:rPr>
          <w:rFonts w:hint="eastAsia"/>
          <w:b/>
          <w:sz w:val="30"/>
        </w:rPr>
        <w:t>企业</w:t>
      </w:r>
      <w:r>
        <w:rPr>
          <w:b/>
          <w:sz w:val="30"/>
        </w:rPr>
        <w:t>名称</w:t>
      </w:r>
      <w:r>
        <w:rPr>
          <w:b/>
          <w:sz w:val="30"/>
          <w:u w:val="single"/>
        </w:rPr>
        <w:t>：</w:t>
      </w:r>
      <w:r>
        <w:rPr>
          <w:rFonts w:hint="eastAsia"/>
          <w:b/>
          <w:sz w:val="30"/>
          <w:u w:val="single"/>
        </w:rPr>
        <w:t xml:space="preserve">乳山市大洋硅胶厂 </w:t>
      </w:r>
      <w:r>
        <w:rPr>
          <w:rFonts w:hint="eastAsia"/>
          <w:bCs/>
          <w:sz w:val="30"/>
          <w:szCs w:val="30"/>
          <w:u w:val="single"/>
        </w:rPr>
        <w:t xml:space="preserve">                     </w:t>
      </w:r>
    </w:p>
    <w:p>
      <w:pPr>
        <w:spacing w:line="1200" w:lineRule="exact"/>
        <w:ind w:firstLine="1494" w:firstLineChars="496"/>
        <w:rPr>
          <w:bCs/>
          <w:spacing w:val="-20"/>
          <w:sz w:val="30"/>
          <w:szCs w:val="30"/>
          <w:u w:val="single"/>
        </w:rPr>
      </w:pPr>
      <w:r>
        <w:rPr>
          <w:rFonts w:hint="eastAsia"/>
          <w:b/>
          <w:sz w:val="30"/>
        </w:rPr>
        <w:t>监测单位</w:t>
      </w:r>
      <w:r>
        <w:rPr>
          <w:sz w:val="30"/>
          <w:u w:val="single"/>
        </w:rPr>
        <w:t>：</w:t>
      </w:r>
      <w:r>
        <w:rPr>
          <w:rFonts w:hint="eastAsia"/>
          <w:sz w:val="30"/>
          <w:u w:val="single"/>
        </w:rPr>
        <w:t xml:space="preserve"> </w:t>
      </w:r>
      <w:r>
        <w:rPr>
          <w:rFonts w:hint="eastAsia"/>
          <w:b/>
          <w:sz w:val="30"/>
          <w:u w:val="single"/>
        </w:rPr>
        <w:t>山东天弘质量检验中心有限公司</w:t>
      </w:r>
      <w:r>
        <w:rPr>
          <w:rFonts w:hint="eastAsia"/>
          <w:sz w:val="30"/>
          <w:u w:val="single"/>
        </w:rPr>
        <w:t xml:space="preserve">      </w:t>
      </w:r>
      <w:r>
        <w:rPr>
          <w:rFonts w:hint="eastAsia"/>
          <w:bCs/>
          <w:spacing w:val="-20"/>
          <w:sz w:val="30"/>
          <w:szCs w:val="30"/>
          <w:u w:val="single"/>
        </w:rPr>
        <w:t xml:space="preserve">          </w:t>
      </w:r>
    </w:p>
    <w:p>
      <w:pPr>
        <w:spacing w:line="1200" w:lineRule="exact"/>
        <w:ind w:left="2644" w:leftChars="713" w:right="210" w:hanging="1147" w:hangingChars="381"/>
        <w:rPr>
          <w:sz w:val="24"/>
          <w:u w:val="single"/>
        </w:rPr>
      </w:pPr>
      <w:r>
        <w:rPr>
          <w:rFonts w:hint="eastAsia"/>
          <w:b/>
          <w:sz w:val="30"/>
        </w:rPr>
        <w:t>备案</w:t>
      </w:r>
      <w:r>
        <w:rPr>
          <w:b/>
          <w:sz w:val="30"/>
        </w:rPr>
        <w:t>日期：</w:t>
      </w:r>
      <w:r>
        <w:rPr>
          <w:rFonts w:hint="eastAsia"/>
          <w:b/>
          <w:sz w:val="30"/>
          <w:u w:val="single"/>
        </w:rPr>
        <w:t xml:space="preserve">         2019-1-4              </w:t>
      </w:r>
    </w:p>
    <w:p>
      <w:pPr>
        <w:spacing w:line="400" w:lineRule="atLeast"/>
        <w:jc w:val="center"/>
        <w:rPr>
          <w:b/>
          <w:bCs/>
          <w:sz w:val="28"/>
        </w:rPr>
      </w:pPr>
    </w:p>
    <w:p>
      <w:pPr>
        <w:spacing w:line="400" w:lineRule="atLeast"/>
        <w:jc w:val="center"/>
        <w:rPr>
          <w:b/>
          <w:bCs/>
          <w:sz w:val="28"/>
        </w:rPr>
      </w:pPr>
    </w:p>
    <w:p>
      <w:pPr>
        <w:spacing w:line="400" w:lineRule="atLeast"/>
        <w:jc w:val="center"/>
        <w:rPr>
          <w:b/>
          <w:bCs/>
          <w:sz w:val="28"/>
        </w:rPr>
      </w:pPr>
    </w:p>
    <w:p>
      <w:pPr>
        <w:spacing w:line="400" w:lineRule="atLeast"/>
        <w:jc w:val="center"/>
        <w:rPr>
          <w:b/>
          <w:bCs/>
          <w:sz w:val="28"/>
        </w:rPr>
      </w:pPr>
    </w:p>
    <w:p>
      <w:pPr>
        <w:spacing w:line="400" w:lineRule="atLeast"/>
        <w:jc w:val="center"/>
        <w:rPr>
          <w:b/>
          <w:bCs/>
          <w:sz w:val="28"/>
        </w:rPr>
      </w:pPr>
    </w:p>
    <w:p>
      <w:pPr>
        <w:pStyle w:val="9"/>
        <w:numPr>
          <w:ilvl w:val="0"/>
          <w:numId w:val="1"/>
        </w:numPr>
        <w:spacing w:line="380" w:lineRule="exac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基本情况</w:t>
      </w:r>
    </w:p>
    <w:p>
      <w:pPr>
        <w:pStyle w:val="9"/>
        <w:spacing w:line="380" w:lineRule="exact"/>
        <w:rPr>
          <w:rFonts w:ascii="黑体" w:hAnsi="黑体" w:eastAsia="黑体"/>
          <w:b/>
          <w:sz w:val="32"/>
          <w:szCs w:val="32"/>
        </w:rPr>
      </w:pPr>
    </w:p>
    <w:tbl>
      <w:tblPr>
        <w:tblStyle w:val="6"/>
        <w:tblW w:w="9689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3514"/>
        <w:gridCol w:w="1920"/>
        <w:gridCol w:w="2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企业名称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乳山市大洋硅胶厂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行业类别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制造业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曾用名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/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注册类型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股份合作制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组织机构代码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社会信用代码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91371083706252365X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企业规模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小型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对应市平台自动监控企业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乳山市大洋硅胶厂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中心经度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中心纬度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企业注册地址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山东省乳山市乳山口镇祝家庄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邮编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264515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企业生产地址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山东省乳山市乳山口镇祝家庄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邮编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264515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法定代表人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李琳琳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企业网址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www.rsdayang.com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企业类别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废气、废水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所属集团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建成投产年月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1990-04-05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管理级别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市（地）属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许可证编号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/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许可证发证日期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控制级别</w:t>
            </w:r>
          </w:p>
        </w:tc>
        <w:tc>
          <w:tcPr>
            <w:tcW w:w="7987" w:type="dxa"/>
            <w:gridSpan w:val="3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废气</w:t>
            </w:r>
            <w:r>
              <w:rPr>
                <w:b/>
                <w:bCs/>
                <w:sz w:val="24"/>
              </w:rPr>
              <w:t>:</w:t>
            </w:r>
            <w:r>
              <w:t xml:space="preserve"> </w:t>
            </w:r>
            <w:r>
              <w:rPr>
                <w:rFonts w:hint="eastAsia" w:ascii="宋体" w:hAnsi="宋体"/>
                <w:b/>
                <w:bCs/>
                <w:sz w:val="24"/>
              </w:rPr>
              <w:t>□</w:t>
            </w:r>
            <w:r>
              <w:rPr>
                <w:rFonts w:hint="eastAsia"/>
                <w:b/>
                <w:bCs/>
                <w:sz w:val="24"/>
              </w:rPr>
              <w:t>国控</w:t>
            </w:r>
            <w:r>
              <w:rPr>
                <w:rFonts w:hint="eastAsia" w:ascii="宋体" w:hAnsi="宋体"/>
                <w:b/>
                <w:bCs/>
                <w:sz w:val="24"/>
              </w:rPr>
              <w:t>□</w:t>
            </w:r>
            <w:r>
              <w:rPr>
                <w:rFonts w:hint="eastAsia"/>
                <w:b/>
                <w:bCs/>
                <w:sz w:val="24"/>
              </w:rPr>
              <w:t>省控</w:t>
            </w:r>
            <w:r>
              <w:rPr>
                <w:b/>
                <w:bCs/>
                <w:sz w:val="24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4"/>
              </w:rPr>
              <w:t>☑</w:t>
            </w:r>
            <w:r>
              <w:rPr>
                <w:rFonts w:hint="eastAsia"/>
                <w:b/>
                <w:bCs/>
                <w:sz w:val="24"/>
              </w:rPr>
              <w:t>市控</w:t>
            </w:r>
            <w:r>
              <w:rPr>
                <w:rFonts w:hint="eastAsia" w:ascii="宋体" w:hAnsi="宋体"/>
                <w:b/>
                <w:bCs/>
                <w:sz w:val="24"/>
              </w:rPr>
              <w:t>□</w:t>
            </w:r>
            <w:r>
              <w:rPr>
                <w:rFonts w:hint="eastAsia"/>
                <w:b/>
                <w:bCs/>
                <w:sz w:val="24"/>
              </w:rPr>
              <w:t>其它</w:t>
            </w:r>
            <w:r>
              <w:rPr>
                <w:b/>
                <w:bCs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sz w:val="24"/>
              </w:rPr>
              <w:t xml:space="preserve">  废水</w:t>
            </w:r>
            <w:r>
              <w:rPr>
                <w:b/>
                <w:bCs/>
                <w:sz w:val="24"/>
              </w:rPr>
              <w:t>:</w:t>
            </w:r>
            <w:r>
              <w:rPr>
                <w:rFonts w:hint="eastAsia" w:ascii="宋体" w:hAnsi="宋体"/>
                <w:b/>
                <w:bCs/>
                <w:sz w:val="24"/>
              </w:rPr>
              <w:t>□</w:t>
            </w:r>
            <w:r>
              <w:rPr>
                <w:rFonts w:hint="eastAsia"/>
                <w:b/>
                <w:bCs/>
                <w:sz w:val="24"/>
              </w:rPr>
              <w:t>国控</w:t>
            </w:r>
            <w:r>
              <w:rPr>
                <w:rFonts w:hint="eastAsia" w:ascii="宋体" w:hAnsi="宋体"/>
                <w:b/>
                <w:bCs/>
                <w:sz w:val="24"/>
              </w:rPr>
              <w:t>□</w:t>
            </w:r>
            <w:r>
              <w:rPr>
                <w:rFonts w:hint="eastAsia"/>
                <w:b/>
                <w:bCs/>
                <w:sz w:val="24"/>
              </w:rPr>
              <w:t>省控</w:t>
            </w:r>
            <w:r>
              <w:rPr>
                <w:rFonts w:hint="eastAsia" w:ascii="宋体" w:hAnsi="宋体"/>
                <w:b/>
                <w:bCs/>
                <w:sz w:val="24"/>
              </w:rPr>
              <w:t>☑</w:t>
            </w:r>
            <w:r>
              <w:rPr>
                <w:rFonts w:hint="eastAsia"/>
                <w:b/>
                <w:bCs/>
                <w:sz w:val="24"/>
              </w:rPr>
              <w:t>市控</w:t>
            </w:r>
            <w:r>
              <w:rPr>
                <w:rFonts w:hint="eastAsia" w:ascii="宋体" w:hAnsi="宋体"/>
                <w:b/>
                <w:bCs/>
                <w:sz w:val="24"/>
              </w:rPr>
              <w:t>□</w:t>
            </w:r>
            <w:r>
              <w:rPr>
                <w:rFonts w:hint="eastAsia"/>
                <w:b/>
                <w:bCs/>
                <w:sz w:val="24"/>
              </w:rPr>
              <w:t>其它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环保联系人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史晓玲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联系电话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0631-6321056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传真</w:t>
            </w:r>
          </w:p>
        </w:tc>
        <w:tc>
          <w:tcPr>
            <w:tcW w:w="3514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0631-6321056</w:t>
            </w:r>
          </w:p>
        </w:tc>
        <w:tc>
          <w:tcPr>
            <w:tcW w:w="1920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联系人手机</w:t>
            </w:r>
          </w:p>
        </w:tc>
        <w:tc>
          <w:tcPr>
            <w:tcW w:w="2553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13256300266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2" w:type="dxa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电子邮箱</w:t>
            </w:r>
          </w:p>
        </w:tc>
        <w:tc>
          <w:tcPr>
            <w:tcW w:w="7987" w:type="dxa"/>
            <w:gridSpan w:val="3"/>
          </w:tcPr>
          <w:p>
            <w:pPr>
              <w:spacing w:line="48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dayang-sun@rsdayang.com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02" w:type="dxa"/>
            <w:vAlign w:val="center"/>
          </w:tcPr>
          <w:p>
            <w:pPr>
              <w:spacing w:line="60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企业生产情况</w:t>
            </w:r>
          </w:p>
        </w:tc>
        <w:tc>
          <w:tcPr>
            <w:tcW w:w="7987" w:type="dxa"/>
            <w:gridSpan w:val="3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乳山市大洋硅胶厂始建于1984年，1992年从事硅胶行业，1998年改为股份制企业。现装有20t/h的燃煤锅炉一台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 w:asciiTheme="majorEastAsia" w:hAnsiTheme="majorEastAsia" w:eastAsiaTheme="majorEastAsia" w:cstheme="majorEastAsia"/>
                <w:color w:val="auto"/>
                <w:sz w:val="24"/>
              </w:rPr>
              <w:t>年产硅胶</w:t>
            </w:r>
            <w:r>
              <w:rPr>
                <w:rFonts w:hint="eastAsia" w:asciiTheme="majorEastAsia" w:hAnsiTheme="majorEastAsia" w:eastAsiaTheme="majorEastAsia" w:cstheme="majorEastAsia"/>
                <w:color w:val="auto"/>
                <w:sz w:val="24"/>
                <w:lang w:val="en-US" w:eastAsia="zh-CN"/>
              </w:rPr>
              <w:t>20000</w:t>
            </w:r>
            <w:r>
              <w:rPr>
                <w:rFonts w:hint="eastAsia" w:asciiTheme="majorEastAsia" w:hAnsiTheme="majorEastAsia" w:eastAsiaTheme="majorEastAsia" w:cstheme="majorEastAsia"/>
                <w:color w:val="auto"/>
                <w:sz w:val="24"/>
              </w:rPr>
              <w:t>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5" w:hRule="atLeast"/>
        </w:trPr>
        <w:tc>
          <w:tcPr>
            <w:tcW w:w="1702" w:type="dxa"/>
            <w:vAlign w:val="center"/>
          </w:tcPr>
          <w:p>
            <w:pPr>
              <w:spacing w:line="60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企业污染防治情况</w:t>
            </w:r>
          </w:p>
        </w:tc>
        <w:tc>
          <w:tcPr>
            <w:tcW w:w="7987" w:type="dxa"/>
            <w:gridSpan w:val="3"/>
          </w:tcPr>
          <w:p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4"/>
              </w:rPr>
              <w:t>乳山市大洋硅胶厂主要污染物为废气中的烟尘、二氧化硫、氮氧化合物，采用布袋除尘+旋风除尘的方法进行除尘，采用石灰石法进行脱硫，采用低氮燃烧进行脱氮，脱硝系统采用PCR脱硝工艺，</w:t>
            </w:r>
            <w:r>
              <w:rPr>
                <w:rFonts w:hint="eastAsia"/>
                <w:b/>
                <w:bCs/>
                <w:color w:val="auto"/>
                <w:sz w:val="24"/>
              </w:rPr>
              <w:t>2017年 12月建成投运，废气达标排放。废水经</w:t>
            </w:r>
            <w:r>
              <w:rPr>
                <w:rFonts w:hint="eastAsia"/>
                <w:b/>
                <w:bCs/>
                <w:color w:val="auto"/>
                <w:sz w:val="24"/>
                <w:lang w:eastAsia="zh-CN"/>
              </w:rPr>
              <w:t>沉淀中和</w:t>
            </w:r>
            <w:r>
              <w:rPr>
                <w:rFonts w:hint="eastAsia"/>
                <w:b/>
                <w:bCs/>
                <w:color w:val="auto"/>
                <w:sz w:val="24"/>
              </w:rPr>
              <w:t>工艺处理后，</w:t>
            </w:r>
            <w:r>
              <w:rPr>
                <w:rFonts w:hint="eastAsia"/>
                <w:b/>
                <w:bCs/>
                <w:color w:val="auto"/>
                <w:sz w:val="24"/>
                <w:lang w:eastAsia="zh-CN"/>
              </w:rPr>
              <w:t>上清液</w:t>
            </w:r>
            <w:r>
              <w:rPr>
                <w:rFonts w:hint="eastAsia"/>
                <w:b/>
                <w:bCs/>
                <w:color w:val="auto"/>
                <w:sz w:val="24"/>
              </w:rPr>
              <w:t>达标排放。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1702" w:type="dxa"/>
            <w:vAlign w:val="center"/>
          </w:tcPr>
          <w:p>
            <w:pPr>
              <w:spacing w:line="60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备注</w:t>
            </w:r>
          </w:p>
        </w:tc>
        <w:tc>
          <w:tcPr>
            <w:tcW w:w="7987" w:type="dxa"/>
            <w:gridSpan w:val="3"/>
          </w:tcPr>
          <w:p>
            <w:pPr>
              <w:spacing w:line="600" w:lineRule="exact"/>
              <w:jc w:val="center"/>
              <w:rPr>
                <w:b/>
                <w:bCs/>
                <w:sz w:val="28"/>
              </w:rPr>
            </w:pPr>
          </w:p>
        </w:tc>
      </w:tr>
    </w:tbl>
    <w:p>
      <w:pPr>
        <w:spacing w:line="400" w:lineRule="atLeast"/>
        <w:jc w:val="center"/>
        <w:rPr>
          <w:b/>
          <w:bCs/>
          <w:sz w:val="28"/>
        </w:rPr>
        <w:sectPr>
          <w:pgSz w:w="11906" w:h="16838"/>
          <w:pgMar w:top="1440" w:right="1588" w:bottom="1440" w:left="1588" w:header="851" w:footer="992" w:gutter="0"/>
          <w:cols w:space="425" w:num="1"/>
          <w:docGrid w:type="lines" w:linePitch="312" w:charSpace="0"/>
        </w:sectPr>
      </w:pPr>
    </w:p>
    <w:p>
      <w:pPr>
        <w:pStyle w:val="9"/>
        <w:numPr>
          <w:ilvl w:val="0"/>
          <w:numId w:val="1"/>
        </w:numPr>
        <w:spacing w:line="380" w:lineRule="exac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监测内容</w:t>
      </w:r>
    </w:p>
    <w:p>
      <w:pPr>
        <w:pStyle w:val="9"/>
        <w:spacing w:line="380" w:lineRule="exact"/>
        <w:ind w:firstLine="4819" w:firstLineChars="150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t>废气</w:t>
      </w:r>
      <w:r>
        <w:rPr>
          <w:rFonts w:hint="eastAsia" w:ascii="黑体" w:hAnsi="黑体" w:eastAsia="黑体"/>
          <w:b/>
          <w:sz w:val="32"/>
          <w:szCs w:val="32"/>
        </w:rPr>
        <w:t>自行监测内容表</w:t>
      </w:r>
    </w:p>
    <w:tbl>
      <w:tblPr>
        <w:tblStyle w:val="5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1341"/>
        <w:gridCol w:w="1562"/>
        <w:gridCol w:w="1307"/>
        <w:gridCol w:w="1293"/>
        <w:gridCol w:w="1956"/>
        <w:gridCol w:w="1304"/>
        <w:gridCol w:w="1823"/>
        <w:gridCol w:w="1704"/>
        <w:gridCol w:w="1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60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2" w:space="0"/>
              <w:tl2br w:val="single" w:color="auto" w:sz="4" w:space="0"/>
            </w:tcBorders>
            <w:vAlign w:val="center"/>
          </w:tcPr>
          <w:p>
            <w:pPr>
              <w:spacing w:line="320" w:lineRule="exact"/>
              <w:ind w:firstLine="843" w:firstLineChars="350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监测项目</w:t>
            </w:r>
          </w:p>
          <w:p>
            <w:pPr>
              <w:spacing w:line="320" w:lineRule="exact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监测内容</w:t>
            </w:r>
          </w:p>
        </w:tc>
        <w:tc>
          <w:tcPr>
            <w:tcW w:w="156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排放口</w:t>
            </w:r>
          </w:p>
        </w:tc>
        <w:tc>
          <w:tcPr>
            <w:tcW w:w="13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监测点位</w:t>
            </w:r>
          </w:p>
        </w:tc>
        <w:tc>
          <w:tcPr>
            <w:tcW w:w="129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监测频次</w:t>
            </w:r>
          </w:p>
        </w:tc>
        <w:tc>
          <w:tcPr>
            <w:tcW w:w="195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执行排放标准</w:t>
            </w:r>
          </w:p>
        </w:tc>
        <w:tc>
          <w:tcPr>
            <w:tcW w:w="13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09" w:leftChars="-61" w:right="-99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标准限值</w:t>
            </w:r>
          </w:p>
        </w:tc>
        <w:tc>
          <w:tcPr>
            <w:tcW w:w="182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09" w:leftChars="-61" w:right="-99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监测方法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09" w:leftChars="-61" w:right="-99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分析仪器</w:t>
            </w:r>
          </w:p>
        </w:tc>
        <w:tc>
          <w:tcPr>
            <w:tcW w:w="116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20" w:lineRule="exact"/>
              <w:ind w:left="-109" w:leftChars="-61" w:right="-99" w:rightChars="-47" w:hanging="19" w:hangingChars="8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19" w:type="dxa"/>
            <w:vMerge w:val="restart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监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测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指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标</w:t>
            </w:r>
          </w:p>
          <w:p>
            <w:pPr>
              <w:spacing w:line="320" w:lineRule="exact"/>
              <w:jc w:val="center"/>
              <w:rPr>
                <w:bCs/>
                <w:sz w:val="24"/>
              </w:rPr>
            </w:pPr>
          </w:p>
        </w:tc>
        <w:tc>
          <w:tcPr>
            <w:tcW w:w="1341" w:type="dxa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氮氧化物</w:t>
            </w:r>
          </w:p>
        </w:tc>
        <w:tc>
          <w:tcPr>
            <w:tcW w:w="1562" w:type="dxa"/>
            <w:tcBorders>
              <w:top w:val="single" w:color="auto" w:sz="4" w:space="0"/>
            </w:tcBorders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DA001</w:t>
            </w:r>
          </w:p>
        </w:tc>
        <w:tc>
          <w:tcPr>
            <w:tcW w:w="1307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锅炉废气排气筒</w:t>
            </w:r>
          </w:p>
        </w:tc>
        <w:tc>
          <w:tcPr>
            <w:tcW w:w="1293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自动监测</w:t>
            </w:r>
          </w:p>
        </w:tc>
        <w:tc>
          <w:tcPr>
            <w:tcW w:w="1956" w:type="dxa"/>
            <w:tcBorders>
              <w:top w:val="single" w:color="auto" w:sz="4" w:space="0"/>
            </w:tcBorders>
          </w:tcPr>
          <w:p>
            <w:r>
              <w:rPr>
                <w:rFonts w:hint="eastAsia"/>
              </w:rPr>
              <w:t>锅炉大气污染物排放标准（DB37/2374-2018）</w:t>
            </w:r>
          </w:p>
        </w:tc>
        <w:tc>
          <w:tcPr>
            <w:tcW w:w="1304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200mg/m3</w:t>
            </w:r>
          </w:p>
        </w:tc>
        <w:tc>
          <w:tcPr>
            <w:tcW w:w="1823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定电位电解法</w:t>
            </w:r>
          </w:p>
        </w:tc>
        <w:tc>
          <w:tcPr>
            <w:tcW w:w="1704" w:type="dxa"/>
            <w:tcBorders>
              <w:top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自动烟尘（气）测试仪</w:t>
            </w:r>
          </w:p>
        </w:tc>
        <w:tc>
          <w:tcPr>
            <w:tcW w:w="1165" w:type="dxa"/>
            <w:tcBorders>
              <w:top w:val="single" w:color="auto" w:sz="4" w:space="0"/>
            </w:tcBorders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1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二氧化硫</w:t>
            </w:r>
          </w:p>
        </w:tc>
        <w:tc>
          <w:tcPr>
            <w:tcW w:w="1562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DA001</w:t>
            </w:r>
          </w:p>
        </w:tc>
        <w:tc>
          <w:tcPr>
            <w:tcW w:w="1307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锅炉废气排气筒</w:t>
            </w:r>
          </w:p>
        </w:tc>
        <w:tc>
          <w:tcPr>
            <w:tcW w:w="1293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自动监测</w:t>
            </w:r>
          </w:p>
        </w:tc>
        <w:tc>
          <w:tcPr>
            <w:tcW w:w="1956" w:type="dxa"/>
          </w:tcPr>
          <w:p>
            <w:r>
              <w:rPr>
                <w:rFonts w:hint="eastAsia"/>
              </w:rPr>
              <w:t>锅炉大气污染物排放标准（DB37/2374-2018）</w:t>
            </w:r>
          </w:p>
        </w:tc>
        <w:tc>
          <w:tcPr>
            <w:tcW w:w="1304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50mg/m3</w:t>
            </w:r>
          </w:p>
        </w:tc>
        <w:tc>
          <w:tcPr>
            <w:tcW w:w="1823" w:type="dxa"/>
            <w:vAlign w:val="center"/>
          </w:tcPr>
          <w:p>
            <w:pPr>
              <w:spacing w:line="32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定电位电解法</w:t>
            </w:r>
          </w:p>
        </w:tc>
        <w:tc>
          <w:tcPr>
            <w:tcW w:w="1704" w:type="dxa"/>
            <w:vAlign w:val="center"/>
          </w:tcPr>
          <w:p>
            <w:pPr>
              <w:spacing w:line="32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自动烟尘（气）测试仪</w:t>
            </w:r>
          </w:p>
        </w:tc>
        <w:tc>
          <w:tcPr>
            <w:tcW w:w="1165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1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烟尘</w:t>
            </w:r>
          </w:p>
        </w:tc>
        <w:tc>
          <w:tcPr>
            <w:tcW w:w="1562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DA001</w:t>
            </w:r>
          </w:p>
        </w:tc>
        <w:tc>
          <w:tcPr>
            <w:tcW w:w="1307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锅炉废气排气筒</w:t>
            </w:r>
          </w:p>
        </w:tc>
        <w:tc>
          <w:tcPr>
            <w:tcW w:w="1293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自动监测</w:t>
            </w:r>
          </w:p>
        </w:tc>
        <w:tc>
          <w:tcPr>
            <w:tcW w:w="1956" w:type="dxa"/>
          </w:tcPr>
          <w:p>
            <w:r>
              <w:rPr>
                <w:rFonts w:hint="eastAsia"/>
              </w:rPr>
              <w:t>锅炉大气污染物排放标准（DB37/2374-2018）</w:t>
            </w:r>
          </w:p>
        </w:tc>
        <w:tc>
          <w:tcPr>
            <w:tcW w:w="1304" w:type="dxa"/>
            <w:vAlign w:val="center"/>
          </w:tcPr>
          <w:p>
            <w:pPr>
              <w:spacing w:line="32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10mg/m3</w:t>
            </w:r>
          </w:p>
        </w:tc>
        <w:tc>
          <w:tcPr>
            <w:tcW w:w="1823" w:type="dxa"/>
            <w:vAlign w:val="center"/>
          </w:tcPr>
          <w:p>
            <w:pPr>
              <w:spacing w:line="32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重量法</w:t>
            </w:r>
          </w:p>
        </w:tc>
        <w:tc>
          <w:tcPr>
            <w:tcW w:w="1704" w:type="dxa"/>
            <w:vAlign w:val="center"/>
          </w:tcPr>
          <w:p>
            <w:pPr>
              <w:spacing w:line="32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电子天平</w:t>
            </w:r>
          </w:p>
        </w:tc>
        <w:tc>
          <w:tcPr>
            <w:tcW w:w="1165" w:type="dxa"/>
          </w:tcPr>
          <w:p>
            <w:pPr>
              <w:spacing w:line="32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污染物排放方式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及排放去向</w:t>
            </w:r>
          </w:p>
        </w:tc>
        <w:tc>
          <w:tcPr>
            <w:tcW w:w="12114" w:type="dxa"/>
            <w:gridSpan w:val="8"/>
          </w:tcPr>
          <w:p>
            <w:pPr>
              <w:spacing w:before="62" w:beforeLines="20" w:after="62" w:afterLines="2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有组织高空排放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采样和样品保存方法</w:t>
            </w:r>
          </w:p>
        </w:tc>
        <w:tc>
          <w:tcPr>
            <w:tcW w:w="12114" w:type="dxa"/>
            <w:gridSpan w:val="8"/>
          </w:tcPr>
          <w:p>
            <w:pPr>
              <w:spacing w:before="62" w:beforeLines="20" w:after="62" w:afterLines="2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采用自动监测，自动检测故障期间委托第三方有资质的检验机构进行检测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监测质量控制措施</w:t>
            </w:r>
          </w:p>
        </w:tc>
        <w:tc>
          <w:tcPr>
            <w:tcW w:w="12114" w:type="dxa"/>
            <w:gridSpan w:val="8"/>
          </w:tcPr>
          <w:p>
            <w:pPr>
              <w:spacing w:before="62" w:beforeLines="20" w:after="62" w:afterLines="2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使用有证书的二氧化硫、氮氧化物标准气体进行校准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2060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监测结果</w:t>
            </w:r>
          </w:p>
          <w:p>
            <w:pPr>
              <w:spacing w:line="380" w:lineRule="exact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公开时限</w:t>
            </w:r>
          </w:p>
        </w:tc>
        <w:tc>
          <w:tcPr>
            <w:tcW w:w="12114" w:type="dxa"/>
            <w:gridSpan w:val="8"/>
            <w:tcBorders>
              <w:bottom w:val="single" w:color="auto" w:sz="4" w:space="0"/>
            </w:tcBorders>
          </w:tcPr>
          <w:p>
            <w:pPr>
              <w:spacing w:before="62" w:beforeLines="20" w:after="62" w:afterLines="20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自动监测结果实时在威海市环保局门户网站上公布</w:t>
            </w:r>
          </w:p>
        </w:tc>
      </w:tr>
    </w:tbl>
    <w:p>
      <w:pPr>
        <w:spacing w:line="400" w:lineRule="exact"/>
        <w:jc w:val="left"/>
        <w:rPr>
          <w:b/>
          <w:sz w:val="24"/>
        </w:rPr>
      </w:pPr>
    </w:p>
    <w:p>
      <w:pPr>
        <w:pStyle w:val="9"/>
        <w:spacing w:line="380" w:lineRule="exact"/>
        <w:ind w:firstLine="4819" w:firstLineChars="150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废水自行监测内容表</w:t>
      </w:r>
    </w:p>
    <w:tbl>
      <w:tblPr>
        <w:tblStyle w:val="5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215"/>
        <w:gridCol w:w="1515"/>
        <w:gridCol w:w="1477"/>
        <w:gridCol w:w="1298"/>
        <w:gridCol w:w="1956"/>
        <w:gridCol w:w="1304"/>
        <w:gridCol w:w="1823"/>
        <w:gridCol w:w="1704"/>
        <w:gridCol w:w="1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935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2" w:space="0"/>
              <w:tl2br w:val="single" w:color="auto" w:sz="4" w:space="0"/>
            </w:tcBorders>
            <w:vAlign w:val="center"/>
          </w:tcPr>
          <w:p>
            <w:pPr>
              <w:spacing w:line="400" w:lineRule="exact"/>
              <w:ind w:firstLine="723" w:firstLineChars="300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监测项目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监测内容</w:t>
            </w:r>
          </w:p>
        </w:tc>
        <w:tc>
          <w:tcPr>
            <w:tcW w:w="151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排放口</w:t>
            </w:r>
          </w:p>
        </w:tc>
        <w:tc>
          <w:tcPr>
            <w:tcW w:w="147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监测点位</w:t>
            </w:r>
          </w:p>
        </w:tc>
        <w:tc>
          <w:tcPr>
            <w:tcW w:w="129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监测频次</w:t>
            </w:r>
          </w:p>
        </w:tc>
        <w:tc>
          <w:tcPr>
            <w:tcW w:w="195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执行排放标准</w:t>
            </w:r>
          </w:p>
        </w:tc>
        <w:tc>
          <w:tcPr>
            <w:tcW w:w="13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标准限值</w:t>
            </w:r>
          </w:p>
        </w:tc>
        <w:tc>
          <w:tcPr>
            <w:tcW w:w="182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监测方法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分析仪器</w:t>
            </w:r>
          </w:p>
        </w:tc>
        <w:tc>
          <w:tcPr>
            <w:tcW w:w="116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restart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监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测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指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标</w:t>
            </w:r>
          </w:p>
          <w:p>
            <w:pPr>
              <w:spacing w:line="400" w:lineRule="exact"/>
              <w:jc w:val="left"/>
              <w:rPr>
                <w:bCs/>
                <w:sz w:val="24"/>
              </w:rPr>
            </w:pPr>
          </w:p>
        </w:tc>
        <w:tc>
          <w:tcPr>
            <w:tcW w:w="1215" w:type="dxa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PH</w:t>
            </w:r>
          </w:p>
        </w:tc>
        <w:tc>
          <w:tcPr>
            <w:tcW w:w="1515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DW001</w:t>
            </w:r>
          </w:p>
        </w:tc>
        <w:tc>
          <w:tcPr>
            <w:tcW w:w="1477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废水监测点</w:t>
            </w:r>
          </w:p>
        </w:tc>
        <w:tc>
          <w:tcPr>
            <w:tcW w:w="1298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自动监测</w:t>
            </w:r>
          </w:p>
        </w:tc>
        <w:tc>
          <w:tcPr>
            <w:tcW w:w="1956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DB37/3416.5-2018《流域水污染物综合排放标准 第5部分：半岛流域》</w:t>
            </w:r>
          </w:p>
        </w:tc>
        <w:tc>
          <w:tcPr>
            <w:tcW w:w="130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6-9</w:t>
            </w:r>
          </w:p>
        </w:tc>
        <w:tc>
          <w:tcPr>
            <w:tcW w:w="1823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玻璃电极法</w:t>
            </w:r>
          </w:p>
        </w:tc>
        <w:tc>
          <w:tcPr>
            <w:tcW w:w="170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笔氏酸度计ph-220</w:t>
            </w:r>
          </w:p>
        </w:tc>
        <w:tc>
          <w:tcPr>
            <w:tcW w:w="1162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氨氮</w:t>
            </w:r>
          </w:p>
        </w:tc>
        <w:tc>
          <w:tcPr>
            <w:tcW w:w="1515" w:type="dxa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DW001</w:t>
            </w:r>
          </w:p>
        </w:tc>
        <w:tc>
          <w:tcPr>
            <w:tcW w:w="1477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废水监测点</w:t>
            </w:r>
          </w:p>
        </w:tc>
        <w:tc>
          <w:tcPr>
            <w:tcW w:w="1298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自动监测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DB37/3416.5-2018《流域水污染物综合排放标准 第5部分：半岛流域》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纳氏试剂分光光度法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紫外可见分光光度计UV-1800</w:t>
            </w:r>
          </w:p>
        </w:tc>
        <w:tc>
          <w:tcPr>
            <w:tcW w:w="1162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COD</w:t>
            </w:r>
          </w:p>
        </w:tc>
        <w:tc>
          <w:tcPr>
            <w:tcW w:w="1515" w:type="dxa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DW001</w:t>
            </w:r>
          </w:p>
        </w:tc>
        <w:tc>
          <w:tcPr>
            <w:tcW w:w="1477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废水监测点</w:t>
            </w:r>
          </w:p>
        </w:tc>
        <w:tc>
          <w:tcPr>
            <w:tcW w:w="1298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自动监测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DB37/3416.5-2018《流域水污染物综合排放标准 第5部分：半岛流域》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重铬酸盐法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滴定管</w:t>
            </w:r>
          </w:p>
        </w:tc>
        <w:tc>
          <w:tcPr>
            <w:tcW w:w="1162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15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98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15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98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15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98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15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515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477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298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  <w:tc>
          <w:tcPr>
            <w:tcW w:w="1162" w:type="dxa"/>
          </w:tcPr>
          <w:p>
            <w:pPr>
              <w:spacing w:line="400" w:lineRule="exact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93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污染物排放方式</w:t>
            </w:r>
          </w:p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及排放去向</w:t>
            </w:r>
          </w:p>
        </w:tc>
        <w:tc>
          <w:tcPr>
            <w:tcW w:w="12239" w:type="dxa"/>
            <w:gridSpan w:val="8"/>
          </w:tcPr>
          <w:p>
            <w:pPr>
              <w:spacing w:line="400" w:lineRule="exact"/>
              <w:jc w:val="left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>经沉淀中和达标</w:t>
            </w:r>
            <w:r>
              <w:rPr>
                <w:rFonts w:hint="eastAsia"/>
                <w:color w:val="auto"/>
                <w:sz w:val="24"/>
              </w:rPr>
              <w:t>排放至</w:t>
            </w:r>
            <w:r>
              <w:rPr>
                <w:rFonts w:hint="eastAsia"/>
                <w:color w:val="auto"/>
                <w:sz w:val="24"/>
                <w:lang w:eastAsia="zh-CN"/>
              </w:rPr>
              <w:t>大海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193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采样和样品保存方法</w:t>
            </w:r>
          </w:p>
        </w:tc>
        <w:tc>
          <w:tcPr>
            <w:tcW w:w="12239" w:type="dxa"/>
            <w:gridSpan w:val="8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在线监测设备由相关资质的第三方进行维护及运营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193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监测质量控制措施</w:t>
            </w:r>
          </w:p>
        </w:tc>
        <w:tc>
          <w:tcPr>
            <w:tcW w:w="12239" w:type="dxa"/>
            <w:gridSpan w:val="8"/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在线监测设备由相关资质的第三方进行维护及运营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1935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监测结果</w:t>
            </w:r>
          </w:p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公开时限</w:t>
            </w:r>
          </w:p>
        </w:tc>
        <w:tc>
          <w:tcPr>
            <w:tcW w:w="12239" w:type="dxa"/>
            <w:gridSpan w:val="8"/>
            <w:tcBorders>
              <w:bottom w:val="single" w:color="auto" w:sz="4" w:space="0"/>
            </w:tcBorders>
          </w:tcPr>
          <w:p>
            <w:pPr>
              <w:spacing w:line="40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自动监测结果实时在威海市环保局门户网站上公布</w:t>
            </w:r>
          </w:p>
        </w:tc>
      </w:tr>
    </w:tbl>
    <w:p>
      <w:pPr>
        <w:spacing w:line="400" w:lineRule="exact"/>
        <w:jc w:val="left"/>
        <w:rPr>
          <w:b/>
          <w:sz w:val="24"/>
          <w:lang w:bidi="en-US"/>
        </w:rPr>
      </w:pPr>
    </w:p>
    <w:p>
      <w:pPr>
        <w:spacing w:line="400" w:lineRule="exact"/>
        <w:jc w:val="left"/>
        <w:rPr>
          <w:b/>
          <w:sz w:val="24"/>
          <w:lang w:bidi="en-US"/>
        </w:rPr>
      </w:pPr>
    </w:p>
    <w:p>
      <w:pPr>
        <w:pStyle w:val="9"/>
        <w:spacing w:line="380" w:lineRule="exact"/>
        <w:ind w:firstLine="4819" w:firstLineChars="150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无组织自行监测内容表</w:t>
      </w:r>
    </w:p>
    <w:tbl>
      <w:tblPr>
        <w:tblStyle w:val="5"/>
        <w:tblW w:w="141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341"/>
        <w:gridCol w:w="1912"/>
        <w:gridCol w:w="1193"/>
        <w:gridCol w:w="2061"/>
        <w:gridCol w:w="1304"/>
        <w:gridCol w:w="1823"/>
        <w:gridCol w:w="1704"/>
        <w:gridCol w:w="2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61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2" w:space="0"/>
              <w:tl2br w:val="single" w:color="auto" w:sz="4" w:space="0"/>
            </w:tcBorders>
            <w:vAlign w:val="center"/>
          </w:tcPr>
          <w:p>
            <w:pPr>
              <w:spacing w:line="400" w:lineRule="exact"/>
              <w:ind w:firstLine="723" w:firstLineChars="300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监测项目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监测内容</w:t>
            </w:r>
          </w:p>
        </w:tc>
        <w:tc>
          <w:tcPr>
            <w:tcW w:w="191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监测点位</w:t>
            </w:r>
          </w:p>
        </w:tc>
        <w:tc>
          <w:tcPr>
            <w:tcW w:w="119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监测频次</w:t>
            </w:r>
          </w:p>
        </w:tc>
        <w:tc>
          <w:tcPr>
            <w:tcW w:w="2061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执行排放标准</w:t>
            </w:r>
          </w:p>
        </w:tc>
        <w:tc>
          <w:tcPr>
            <w:tcW w:w="13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标准限值</w:t>
            </w:r>
          </w:p>
        </w:tc>
        <w:tc>
          <w:tcPr>
            <w:tcW w:w="182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监测方法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分析仪器</w:t>
            </w:r>
          </w:p>
        </w:tc>
        <w:tc>
          <w:tcPr>
            <w:tcW w:w="208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restart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监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测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指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标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</w:p>
        </w:tc>
        <w:tc>
          <w:tcPr>
            <w:tcW w:w="1341" w:type="dxa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颗粒物</w:t>
            </w:r>
          </w:p>
        </w:tc>
        <w:tc>
          <w:tcPr>
            <w:tcW w:w="1912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1#厂界上风向</w:t>
            </w:r>
          </w:p>
        </w:tc>
        <w:tc>
          <w:tcPr>
            <w:tcW w:w="1193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1.0 mg/m3</w:t>
            </w:r>
          </w:p>
        </w:tc>
        <w:tc>
          <w:tcPr>
            <w:tcW w:w="1823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重量法</w:t>
            </w:r>
          </w:p>
        </w:tc>
        <w:tc>
          <w:tcPr>
            <w:tcW w:w="1704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电子天平</w:t>
            </w:r>
          </w:p>
        </w:tc>
        <w:tc>
          <w:tcPr>
            <w:tcW w:w="2084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颗粒物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1.0 mg/m3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重量法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电子天平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颗粒物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3#厂界下风向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1.0 mg/m3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重量法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电子天平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颗粒物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4#厂界下风向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1.0 mg/m3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重量法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电子天平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颗粒物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5#厂界北住处小区南1m处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1.0 mg/m3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重量法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电子天平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硫酸雾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1#厂界上风向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1.2mg/m³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铬酸钡分光光度法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硫酸雾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1.2mg/m³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铬酸钡分光光度法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硫酸雾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3#厂界下风向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1.2mg/m³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铬酸钡分光光度法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硫酸雾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4#厂界下风向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1.2mg/m³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铬酸钡分光光度法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硫酸雾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5#厂界北住处小区南1m处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16297-1996《大气污染物综合排放标准》表2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1.2mg/m³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铬酸钡分光光度法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left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氨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1#厂界上风向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14554-1993《恶臭污染物排放标准》表1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1.5mg/m³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纳氏试剂分光光度法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氨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14554-1993《恶臭污染物排放标准》表1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1.5mg/m³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纳氏试剂分光光度法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氨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3#厂界下风向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14554-1993《恶臭污染物排放标准》表1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1.5mg/m³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纳氏试剂分光光度法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氨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4#厂界下风向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14554-1993《恶臭污染物排放标准》表1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1.5mg/m³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纳氏试剂分光光度法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氨</w:t>
            </w:r>
          </w:p>
        </w:tc>
        <w:tc>
          <w:tcPr>
            <w:tcW w:w="1912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5#厂界北住处小区南1m处</w:t>
            </w:r>
          </w:p>
        </w:tc>
        <w:tc>
          <w:tcPr>
            <w:tcW w:w="1193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206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 14554-1993《恶臭污染物排放标准》表1</w:t>
            </w:r>
          </w:p>
        </w:tc>
        <w:tc>
          <w:tcPr>
            <w:tcW w:w="130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1.5mg/m³</w:t>
            </w:r>
          </w:p>
        </w:tc>
        <w:tc>
          <w:tcPr>
            <w:tcW w:w="1823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纳氏试剂分光光度法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紫外可见分光光度计</w:t>
            </w:r>
          </w:p>
        </w:tc>
        <w:tc>
          <w:tcPr>
            <w:tcW w:w="2084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6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污染物排放方式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及排放去向</w:t>
            </w:r>
          </w:p>
        </w:tc>
        <w:tc>
          <w:tcPr>
            <w:tcW w:w="12081" w:type="dxa"/>
            <w:gridSpan w:val="7"/>
          </w:tcPr>
          <w:p>
            <w:pPr>
              <w:widowControl/>
              <w:rPr>
                <w:b/>
                <w:sz w:val="24"/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排入环境空气中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06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采样和样品保存方法</w:t>
            </w:r>
          </w:p>
        </w:tc>
        <w:tc>
          <w:tcPr>
            <w:tcW w:w="12081" w:type="dxa"/>
            <w:gridSpan w:val="7"/>
          </w:tcPr>
          <w:p>
            <w:pPr>
              <w:widowControl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不同流量或频次采集1小时，滤膜袋或滤膜盒保存、PVC气袋装、气泡吸收管避光保存。</w:t>
            </w:r>
          </w:p>
          <w:p>
            <w:pPr>
              <w:spacing w:line="400" w:lineRule="exact"/>
              <w:jc w:val="left"/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06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监测质量控制措施</w:t>
            </w:r>
          </w:p>
        </w:tc>
        <w:tc>
          <w:tcPr>
            <w:tcW w:w="12081" w:type="dxa"/>
            <w:gridSpan w:val="7"/>
          </w:tcPr>
          <w:p>
            <w:pPr>
              <w:widowControl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流量校准、实验室平行样、标准样品等。</w:t>
            </w:r>
          </w:p>
          <w:p>
            <w:pPr>
              <w:spacing w:line="400" w:lineRule="exact"/>
              <w:jc w:val="left"/>
              <w:rPr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206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监测结果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公开时限</w:t>
            </w:r>
          </w:p>
        </w:tc>
        <w:tc>
          <w:tcPr>
            <w:tcW w:w="12081" w:type="dxa"/>
            <w:gridSpan w:val="7"/>
            <w:tcBorders>
              <w:bottom w:val="single" w:color="auto" w:sz="4" w:space="0"/>
            </w:tcBorders>
          </w:tcPr>
          <w:p>
            <w:pPr>
              <w:widowControl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手工监测结果于收到监测报告次日公开</w:t>
            </w:r>
          </w:p>
        </w:tc>
      </w:tr>
    </w:tbl>
    <w:p>
      <w:pPr>
        <w:spacing w:line="400" w:lineRule="exact"/>
        <w:jc w:val="left"/>
        <w:rPr>
          <w:b/>
          <w:sz w:val="24"/>
        </w:rPr>
      </w:pPr>
    </w:p>
    <w:p>
      <w:pPr>
        <w:spacing w:line="400" w:lineRule="exact"/>
        <w:jc w:val="left"/>
        <w:rPr>
          <w:b/>
          <w:sz w:val="24"/>
        </w:rPr>
      </w:pPr>
    </w:p>
    <w:p>
      <w:pPr>
        <w:pStyle w:val="9"/>
        <w:spacing w:line="380" w:lineRule="exact"/>
        <w:ind w:firstLine="4819" w:firstLineChars="150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厂界噪声自行监测内容表</w:t>
      </w:r>
    </w:p>
    <w:tbl>
      <w:tblPr>
        <w:tblStyle w:val="5"/>
        <w:tblW w:w="14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341"/>
        <w:gridCol w:w="1304"/>
        <w:gridCol w:w="1298"/>
        <w:gridCol w:w="1956"/>
        <w:gridCol w:w="1304"/>
        <w:gridCol w:w="1823"/>
        <w:gridCol w:w="1704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61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12" w:space="0"/>
              <w:tl2br w:val="single" w:color="auto" w:sz="4" w:space="0"/>
            </w:tcBorders>
            <w:vAlign w:val="center"/>
          </w:tcPr>
          <w:p>
            <w:pPr>
              <w:spacing w:line="400" w:lineRule="exact"/>
              <w:ind w:firstLine="723" w:firstLineChars="300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监测项目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监测内容</w:t>
            </w:r>
          </w:p>
        </w:tc>
        <w:tc>
          <w:tcPr>
            <w:tcW w:w="13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监测点位</w:t>
            </w:r>
          </w:p>
        </w:tc>
        <w:tc>
          <w:tcPr>
            <w:tcW w:w="129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监测频次</w:t>
            </w:r>
          </w:p>
        </w:tc>
        <w:tc>
          <w:tcPr>
            <w:tcW w:w="195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执行排放标准</w:t>
            </w:r>
          </w:p>
        </w:tc>
        <w:tc>
          <w:tcPr>
            <w:tcW w:w="13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标准限值</w:t>
            </w:r>
          </w:p>
        </w:tc>
        <w:tc>
          <w:tcPr>
            <w:tcW w:w="182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监测方法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分析仪器</w:t>
            </w:r>
          </w:p>
        </w:tc>
        <w:tc>
          <w:tcPr>
            <w:tcW w:w="255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720" w:type="dxa"/>
            <w:vMerge w:val="restart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监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测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指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标</w:t>
            </w:r>
          </w:p>
          <w:p>
            <w:pPr>
              <w:spacing w:line="400" w:lineRule="exact"/>
              <w:jc w:val="left"/>
              <w:rPr>
                <w:b/>
                <w:bCs/>
                <w:sz w:val="24"/>
              </w:rPr>
            </w:pPr>
          </w:p>
        </w:tc>
        <w:tc>
          <w:tcPr>
            <w:tcW w:w="1341" w:type="dxa"/>
            <w:tcBorders>
              <w:top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厂界环境噪声（昼间）</w:t>
            </w:r>
          </w:p>
        </w:tc>
        <w:tc>
          <w:tcPr>
            <w:tcW w:w="130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厂界东</w:t>
            </w:r>
          </w:p>
        </w:tc>
        <w:tc>
          <w:tcPr>
            <w:tcW w:w="1298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6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厂界环境噪声（昼间）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厂界南</w:t>
            </w:r>
          </w:p>
        </w:tc>
        <w:tc>
          <w:tcPr>
            <w:tcW w:w="1298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6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厂界环境噪声（昼间）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3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厂界西</w:t>
            </w:r>
          </w:p>
        </w:tc>
        <w:tc>
          <w:tcPr>
            <w:tcW w:w="1298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6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厂界环境噪声（昼间）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4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厂界北</w:t>
            </w:r>
          </w:p>
        </w:tc>
        <w:tc>
          <w:tcPr>
            <w:tcW w:w="1298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6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厂界环境噪声（夜间）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厂界东</w:t>
            </w:r>
          </w:p>
        </w:tc>
        <w:tc>
          <w:tcPr>
            <w:tcW w:w="1298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厂界环境噪声（夜间）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2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厂界南</w:t>
            </w:r>
          </w:p>
        </w:tc>
        <w:tc>
          <w:tcPr>
            <w:tcW w:w="1298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厂界环境噪声（夜间）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3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厂界西</w:t>
            </w:r>
          </w:p>
        </w:tc>
        <w:tc>
          <w:tcPr>
            <w:tcW w:w="1298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厂界环境噪声（夜间）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4</w:t>
            </w:r>
            <w:r>
              <w:rPr>
                <w:b/>
                <w:sz w:val="24"/>
              </w:rPr>
              <w:t>♯</w:t>
            </w:r>
            <w:r>
              <w:rPr>
                <w:rFonts w:hint="eastAsia" w:ascii="宋体" w:hAnsi="宋体" w:cs="宋体"/>
                <w:b/>
                <w:sz w:val="24"/>
              </w:rPr>
              <w:t>厂界西</w:t>
            </w:r>
          </w:p>
        </w:tc>
        <w:tc>
          <w:tcPr>
            <w:tcW w:w="1298" w:type="dxa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1季度/次</w:t>
            </w:r>
          </w:p>
        </w:tc>
        <w:tc>
          <w:tcPr>
            <w:tcW w:w="1956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GB12348-2008《工业企业厂界环境噪声排放标准》</w:t>
            </w:r>
          </w:p>
        </w:tc>
        <w:tc>
          <w:tcPr>
            <w:tcW w:w="1304" w:type="dxa"/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5</w:t>
            </w:r>
            <w:r>
              <w:rPr>
                <w:rFonts w:hint="eastAsia"/>
                <w:b/>
                <w:sz w:val="24"/>
                <w:lang w:val="en-US" w:eastAsia="zh-CN"/>
              </w:rPr>
              <w:t>0</w:t>
            </w:r>
            <w:r>
              <w:rPr>
                <w:rFonts w:hint="eastAsia"/>
                <w:b/>
                <w:sz w:val="24"/>
              </w:rPr>
              <w:t>dB</w:t>
            </w:r>
          </w:p>
        </w:tc>
        <w:tc>
          <w:tcPr>
            <w:tcW w:w="1823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仪器直读</w:t>
            </w:r>
          </w:p>
        </w:tc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  <w:r>
              <w:rPr>
                <w:rFonts w:hint="eastAsia"/>
                <w:b/>
                <w:color w:val="auto"/>
                <w:sz w:val="24"/>
              </w:rPr>
              <w:t>噪声频谱分析仪HS6298B</w:t>
            </w:r>
          </w:p>
        </w:tc>
        <w:tc>
          <w:tcPr>
            <w:tcW w:w="2550" w:type="dxa"/>
            <w:vAlign w:val="center"/>
          </w:tcPr>
          <w:p>
            <w:pPr>
              <w:spacing w:line="400" w:lineRule="exact"/>
              <w:jc w:val="center"/>
              <w:rPr>
                <w:b/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6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污染物排放方式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及排放去向</w:t>
            </w:r>
          </w:p>
        </w:tc>
        <w:tc>
          <w:tcPr>
            <w:tcW w:w="11939" w:type="dxa"/>
            <w:gridSpan w:val="7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排入声环境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06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采样和样品保存方法</w:t>
            </w:r>
          </w:p>
        </w:tc>
        <w:tc>
          <w:tcPr>
            <w:tcW w:w="11939" w:type="dxa"/>
            <w:gridSpan w:val="7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现场测量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206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监测质量控制措施</w:t>
            </w:r>
          </w:p>
        </w:tc>
        <w:tc>
          <w:tcPr>
            <w:tcW w:w="11939" w:type="dxa"/>
            <w:gridSpan w:val="7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仪器校准。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2061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监测结果</w:t>
            </w:r>
          </w:p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公开时限</w:t>
            </w:r>
          </w:p>
        </w:tc>
        <w:tc>
          <w:tcPr>
            <w:tcW w:w="11939" w:type="dxa"/>
            <w:gridSpan w:val="7"/>
            <w:tcBorders>
              <w:bottom w:val="single" w:color="auto" w:sz="4" w:space="0"/>
            </w:tcBorders>
          </w:tcPr>
          <w:p>
            <w:pPr>
              <w:spacing w:line="400" w:lineRule="exact"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手工监测结果于收到监测报告次日公开</w:t>
            </w:r>
          </w:p>
        </w:tc>
      </w:tr>
    </w:tbl>
    <w:p>
      <w:pPr>
        <w:spacing w:line="400" w:lineRule="exact"/>
        <w:jc w:val="left"/>
        <w:rPr>
          <w:b/>
          <w:sz w:val="24"/>
        </w:rPr>
        <w:sectPr>
          <w:pgSz w:w="16838" w:h="11906" w:orient="landscape"/>
          <w:pgMar w:top="1418" w:right="1440" w:bottom="1134" w:left="1440" w:header="851" w:footer="992" w:gutter="0"/>
          <w:cols w:space="425" w:num="1"/>
          <w:docGrid w:type="lines" w:linePitch="312" w:charSpace="0"/>
        </w:sectPr>
      </w:pPr>
    </w:p>
    <w:p>
      <w:pPr>
        <w:spacing w:line="400" w:lineRule="exact"/>
        <w:jc w:val="center"/>
        <w:rPr>
          <w:b/>
          <w:sz w:val="28"/>
          <w:szCs w:val="28"/>
        </w:rPr>
      </w:pPr>
    </w:p>
    <w:p>
      <w:pPr>
        <w:pStyle w:val="9"/>
        <w:snapToGrid w:val="0"/>
        <w:spacing w:after="0" w:line="360" w:lineRule="auto"/>
        <w:ind w:left="0" w:firstLine="640" w:firstLineChars="200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三、监测点位示意图</w:t>
      </w:r>
    </w:p>
    <w:p>
      <w:pPr>
        <w:pStyle w:val="9"/>
        <w:snapToGrid w:val="0"/>
        <w:spacing w:after="0" w:line="360" w:lineRule="auto"/>
        <w:ind w:left="0" w:firstLine="640" w:firstLineChars="200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企业可根据具体情况自行确定比例，标明工厂方位，四邻，标明办公区域、主要生产车间（场所）及主要设备的位置，标明各种污染治理设施的位置，标明污水排放口及其监测点位的编号及其名称。</w:t>
      </w:r>
    </w:p>
    <w:p>
      <w:pPr>
        <w:pStyle w:val="9"/>
        <w:snapToGrid w:val="0"/>
        <w:spacing w:after="0" w:line="360" w:lineRule="auto"/>
        <w:ind w:left="0" w:firstLine="440" w:firstLineChars="200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930265" cy="4068445"/>
            <wp:effectExtent l="0" t="0" r="1333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napToGrid w:val="0"/>
        <w:spacing w:after="0" w:line="360" w:lineRule="auto"/>
        <w:ind w:left="0" w:leftChars="0" w:firstLine="0" w:firstLineChars="0"/>
        <w:rPr>
          <w:rFonts w:hint="eastAsia" w:ascii="仿宋_GB2312" w:hAnsi="宋体" w:eastAsia="仿宋_GB2312"/>
          <w:sz w:val="32"/>
          <w:szCs w:val="32"/>
          <w:lang w:eastAsia="zh-CN" w:bidi="ar-SA"/>
        </w:rPr>
      </w:pPr>
      <w:r>
        <w:rPr>
          <w:rFonts w:hint="eastAsia" w:ascii="仿宋_GB2312" w:hAnsi="宋体" w:eastAsia="仿宋_GB2312"/>
          <w:sz w:val="32"/>
          <w:szCs w:val="32"/>
          <w:lang w:eastAsia="zh-CN" w:bidi="ar-SA"/>
        </w:rPr>
        <w:t>备注：</w:t>
      </w:r>
      <w:bookmarkStart w:id="0" w:name="_GoBack"/>
      <w:bookmarkEnd w:id="0"/>
    </w:p>
    <w:p>
      <w:pPr>
        <w:pStyle w:val="9"/>
        <w:snapToGrid w:val="0"/>
        <w:spacing w:after="0" w:line="360" w:lineRule="auto"/>
        <w:ind w:firstLine="320" w:firstLineChars="100"/>
        <w:rPr>
          <w:rFonts w:hint="eastAsia" w:ascii="仿宋_GB2312" w:hAnsi="宋体" w:eastAsia="仿宋_GB2312"/>
          <w:sz w:val="32"/>
          <w:szCs w:val="32"/>
          <w:lang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67310</wp:posOffset>
                </wp:positionV>
                <wp:extent cx="190500" cy="161925"/>
                <wp:effectExtent l="12700" t="12700" r="25400" b="15875"/>
                <wp:wrapNone/>
                <wp:docPr id="3" name="等腰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8168005"/>
                          <a:ext cx="190500" cy="161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7.65pt;margin-top:5.3pt;height:12.75pt;width:15pt;z-index:251659264;v-text-anchor:middle;mso-width-relative:page;mso-height-relative:page;" fillcolor="#4F81BD [3204]" filled="t" stroked="t" coordsize="21600,21600" o:gfxdata="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0PdatIAAAAHAQAADwAAAAAAAAABACAAAAAiAAAAZHJz&#10;L2Rvd25yZXYueG1sUEsBAhQAFAAAAAgAh07iQLqPEYB8AgAAyAQAAA4AAAAAAAAAAQAgAAAAIQEA&#10;AGRycy9lMm9Eb2MueG1sUEsFBgAAAAAGAAYAWQEAAA8GAAAAAA==&#10;" adj="108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宋体" w:eastAsia="仿宋_GB2312"/>
          <w:sz w:val="32"/>
          <w:szCs w:val="32"/>
          <w:lang w:eastAsia="zh-CN" w:bidi="ar-SA"/>
        </w:rPr>
        <w:t>三角代表噪声</w:t>
      </w:r>
    </w:p>
    <w:p>
      <w:pPr>
        <w:pStyle w:val="9"/>
        <w:snapToGrid w:val="0"/>
        <w:spacing w:after="0" w:line="360" w:lineRule="auto"/>
        <w:ind w:firstLine="320" w:firstLineChars="100"/>
        <w:rPr>
          <w:rFonts w:hint="eastAsia" w:ascii="仿宋_GB2312" w:hAnsi="宋体" w:eastAsia="仿宋_GB2312"/>
          <w:sz w:val="32"/>
          <w:szCs w:val="32"/>
          <w:lang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71755</wp:posOffset>
                </wp:positionV>
                <wp:extent cx="161925" cy="171450"/>
                <wp:effectExtent l="12700" t="12700" r="15875" b="2540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2035" y="8206105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.65pt;margin-top:5.65pt;height:13.5pt;width:12.75pt;z-index:251658240;v-text-anchor:middle;mso-width-relative:page;mso-height-relative:page;" fillcolor="#4F81BD [3204]" filled="t" stroked="t" coordsize="21600,21600" o:gfxdata="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UbyTdYAAAAHAQAADwAAAAAAAAABACAAAAAiAAAAZHJzL2Rvd25yZXYueG1sUEsB&#10;AhQAFAAAAAgAh07iQPAGAjNpAgAAvgQAAA4AAAAAAAAAAQAgAAAAJQEAAGRycy9lMm9Eb2MueG1s&#10;UEsFBgAAAAAGAAYAWQEAAAAGAAAAAA==&#10;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宋体" w:eastAsia="仿宋_GB2312"/>
          <w:sz w:val="32"/>
          <w:szCs w:val="32"/>
          <w:lang w:eastAsia="zh-CN" w:bidi="ar-SA"/>
        </w:rPr>
        <w:t>代表无组织敏感点</w:t>
      </w:r>
    </w:p>
    <w:p>
      <w:pPr>
        <w:pStyle w:val="9"/>
        <w:snapToGrid w:val="0"/>
        <w:spacing w:after="0" w:line="360" w:lineRule="auto"/>
        <w:ind w:firstLine="320" w:firstLineChars="100"/>
        <w:rPr>
          <w:rFonts w:hint="eastAsia" w:ascii="仿宋_GB2312" w:hAnsi="宋体" w:eastAsia="仿宋_GB2312"/>
          <w:sz w:val="32"/>
          <w:szCs w:val="32"/>
          <w:lang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67310</wp:posOffset>
                </wp:positionV>
                <wp:extent cx="200025" cy="133350"/>
                <wp:effectExtent l="12700" t="0" r="15875" b="260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0160" y="8987155"/>
                          <a:ext cx="2000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9pt;margin-top:5.3pt;height:10.5pt;width:15.75pt;z-index:251660288;v-text-anchor:middle;mso-width-relative:page;mso-height-relative:page;" fillcolor="#4F81BD [3204]" filled="t" stroked="t" coordsize="21600,21600" o:gfxdata="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tR0SOtcAAAAHAQAADwAAAAAAAAABACAAAAAiAAAAZHJzL2Rvd25yZXYueG1sUEsB&#10;AhQAFAAAAAgAh07iQGJlMkVoAgAAuwQAAA4AAAAAAAAAAQAgAAAAJgEAAGRycy9lMm9Eb2MueG1s&#10;UEsFBgAAAAAGAAYAWQEAAAAG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宋体" w:eastAsia="仿宋_GB2312"/>
          <w:sz w:val="32"/>
          <w:szCs w:val="32"/>
          <w:lang w:eastAsia="zh-CN" w:bidi="ar-SA"/>
        </w:rPr>
        <w:t>代表固定源废气</w:t>
      </w:r>
    </w:p>
    <w:p>
      <w:pPr>
        <w:pStyle w:val="9"/>
        <w:snapToGrid w:val="0"/>
        <w:spacing w:after="0" w:line="360" w:lineRule="auto"/>
        <w:rPr>
          <w:rFonts w:hint="default" w:ascii="仿宋_GB2312" w:hAnsi="宋体" w:eastAsia="仿宋_GB231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180340</wp:posOffset>
                </wp:positionV>
                <wp:extent cx="238125" cy="75565"/>
                <wp:effectExtent l="12700" t="12700" r="15875" b="26035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0635" y="9495790"/>
                          <a:ext cx="23812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.15pt;margin-top:14.2pt;height:5.95pt;width:18.75pt;z-index:251661312;v-text-anchor:middle;mso-width-relative:page;mso-height-relative:page;" fillcolor="#4F81BD [3204]" filled="t" stroked="t" coordsize="21600,21600" o:gfxdata="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kLr6PXAAAABwEAAA8AAAAAAAAAAQAgAAAAIgAAAGRycy9kb3ducmV2&#10;LnhtbFBLAQIUABQAAAAIAIdO4kBg5y02bwIAAMMEAAAOAAAAAAAAAAEAIAAAACYBAABkcnMvZTJv&#10;RG9jLnhtbFBLBQYAAAAABgAGAFkBAAAHBgAAAAA=&#10;" adj="18173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宋体" w:eastAsia="仿宋_GB2312"/>
          <w:sz w:val="32"/>
          <w:szCs w:val="32"/>
          <w:lang w:val="en-US" w:eastAsia="zh-CN" w:bidi="ar-SA"/>
        </w:rPr>
        <w:t xml:space="preserve">  代表污水</w:t>
      </w:r>
    </w:p>
    <w:p>
      <w:pPr>
        <w:pStyle w:val="9"/>
        <w:snapToGrid w:val="0"/>
        <w:spacing w:after="0" w:line="360" w:lineRule="auto"/>
        <w:rPr>
          <w:rFonts w:hint="eastAsia" w:ascii="仿宋_GB2312" w:hAnsi="宋体" w:eastAsia="仿宋_GB2312"/>
          <w:sz w:val="32"/>
          <w:szCs w:val="32"/>
          <w:lang w:eastAsia="zh-CN" w:bidi="ar-SA"/>
        </w:rPr>
      </w:pPr>
    </w:p>
    <w:sectPr>
      <w:pgSz w:w="11906" w:h="16838"/>
      <w:pgMar w:top="1440" w:right="1134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D3495"/>
    <w:multiLevelType w:val="multilevel"/>
    <w:tmpl w:val="1B3D349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07"/>
    <w:rsid w:val="00003AA6"/>
    <w:rsid w:val="00022001"/>
    <w:rsid w:val="000545E9"/>
    <w:rsid w:val="00056786"/>
    <w:rsid w:val="000C2AC3"/>
    <w:rsid w:val="000F12AE"/>
    <w:rsid w:val="000F1D25"/>
    <w:rsid w:val="001126CB"/>
    <w:rsid w:val="00125FF9"/>
    <w:rsid w:val="00147E35"/>
    <w:rsid w:val="001823A9"/>
    <w:rsid w:val="001D5477"/>
    <w:rsid w:val="001E5043"/>
    <w:rsid w:val="00243D1E"/>
    <w:rsid w:val="00246B1F"/>
    <w:rsid w:val="00267134"/>
    <w:rsid w:val="00277EBA"/>
    <w:rsid w:val="00287486"/>
    <w:rsid w:val="002A10F1"/>
    <w:rsid w:val="002D5928"/>
    <w:rsid w:val="00315F03"/>
    <w:rsid w:val="003667BF"/>
    <w:rsid w:val="003B0FA6"/>
    <w:rsid w:val="003E587B"/>
    <w:rsid w:val="003F27F3"/>
    <w:rsid w:val="00424A98"/>
    <w:rsid w:val="00470EF4"/>
    <w:rsid w:val="00475873"/>
    <w:rsid w:val="004C42AC"/>
    <w:rsid w:val="004E14AD"/>
    <w:rsid w:val="004E2070"/>
    <w:rsid w:val="00582A43"/>
    <w:rsid w:val="00585C51"/>
    <w:rsid w:val="00587C48"/>
    <w:rsid w:val="005D22A9"/>
    <w:rsid w:val="0063755E"/>
    <w:rsid w:val="0069424C"/>
    <w:rsid w:val="006A1360"/>
    <w:rsid w:val="00706B17"/>
    <w:rsid w:val="00711948"/>
    <w:rsid w:val="00715A30"/>
    <w:rsid w:val="007169C0"/>
    <w:rsid w:val="007261DC"/>
    <w:rsid w:val="00794191"/>
    <w:rsid w:val="007E2C53"/>
    <w:rsid w:val="007F3E1E"/>
    <w:rsid w:val="00860A07"/>
    <w:rsid w:val="00873ADB"/>
    <w:rsid w:val="00896506"/>
    <w:rsid w:val="0094329C"/>
    <w:rsid w:val="00944B20"/>
    <w:rsid w:val="00A25F56"/>
    <w:rsid w:val="00A536D5"/>
    <w:rsid w:val="00A7024C"/>
    <w:rsid w:val="00AA56E2"/>
    <w:rsid w:val="00AF1F26"/>
    <w:rsid w:val="00AF7B6C"/>
    <w:rsid w:val="00B34A65"/>
    <w:rsid w:val="00BC1005"/>
    <w:rsid w:val="00C60B69"/>
    <w:rsid w:val="00D0577B"/>
    <w:rsid w:val="00D1369F"/>
    <w:rsid w:val="00D92CB1"/>
    <w:rsid w:val="00DA4729"/>
    <w:rsid w:val="00E06F0D"/>
    <w:rsid w:val="00EC3ADD"/>
    <w:rsid w:val="00ED0191"/>
    <w:rsid w:val="00F419C3"/>
    <w:rsid w:val="00F906E0"/>
    <w:rsid w:val="03906943"/>
    <w:rsid w:val="05994712"/>
    <w:rsid w:val="18295D8E"/>
    <w:rsid w:val="23C6499C"/>
    <w:rsid w:val="60A27246"/>
    <w:rsid w:val="72FE02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Char Char Char"/>
    <w:basedOn w:val="1"/>
    <w:qFormat/>
    <w:uiPriority w:val="0"/>
    <w:pPr>
      <w:widowControl/>
      <w:jc w:val="left"/>
    </w:pPr>
    <w:rPr>
      <w:kern w:val="0"/>
      <w:sz w:val="20"/>
      <w:szCs w:val="20"/>
    </w:rPr>
  </w:style>
  <w:style w:type="paragraph" w:styleId="9">
    <w:name w:val="List Paragraph"/>
    <w:basedOn w:val="1"/>
    <w:qFormat/>
    <w:uiPriority w:val="0"/>
    <w:pPr>
      <w:widowControl/>
      <w:spacing w:after="200" w:line="252" w:lineRule="auto"/>
      <w:ind w:left="720"/>
      <w:contextualSpacing/>
      <w:jc w:val="left"/>
    </w:pPr>
    <w:rPr>
      <w:rFonts w:ascii="Cambria" w:hAnsi="Cambria"/>
      <w:kern w:val="0"/>
      <w:sz w:val="22"/>
      <w:szCs w:val="22"/>
      <w:lang w:eastAsia="en-US" w:bidi="en-US"/>
    </w:rPr>
  </w:style>
  <w:style w:type="character" w:customStyle="1" w:styleId="10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13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588</Words>
  <Characters>3358</Characters>
  <Lines>27</Lines>
  <Paragraphs>7</Paragraphs>
  <TotalTime>2248</TotalTime>
  <ScaleCrop>false</ScaleCrop>
  <LinksUpToDate>false</LinksUpToDate>
  <CharactersWithSpaces>3939</CharactersWithSpaces>
  <Application>WPS Office_11.1.0.9058_F1E327BC-269C-435d-A152-05C5408002CA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2019-09-19T07:04:00Z</dcterms:created>
  <dc:creator>hbt</dc:creator>
  <cp:lastModifiedBy>Administrator</cp:lastModifiedBy>
  <dcterms:modified xsi:type="dcterms:W3CDTF">2019-10-11T02:43:25Z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2052-11.1.0.9058</vt:lpwstr>
  </property>
</Properties>
</file>